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8302" w14:textId="77777777" w:rsidR="00934C80" w:rsidRDefault="00934C80" w:rsidP="00934C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Dövlət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Gömrük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Komitəsinin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Akademiyası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bakalavriat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səviyyəsi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8B34C2" w14:textId="6D7CA994" w:rsidR="00934C80" w:rsidRPr="00934C80" w:rsidRDefault="00934C80" w:rsidP="00934C8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almaq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istəyən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şəxslər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üçün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sənəd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qəbulu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elan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edir</w:t>
      </w:r>
      <w:proofErr w:type="spellEnd"/>
    </w:p>
    <w:p w14:paraId="1073D8B6" w14:textId="77777777" w:rsidR="00934C80" w:rsidRPr="00934C80" w:rsidRDefault="00934C80" w:rsidP="00934C8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57CCC1C" w14:textId="77777777" w:rsid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4D76B0" w14:textId="2601F30A" w:rsidR="00934C80" w:rsidRDefault="00934C80" w:rsidP="00934C8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Dövlət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Gömrük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Komitəsinin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Akademiyası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2022/2023-cü </w:t>
      </w:r>
      <w:proofErr w:type="spellStart"/>
      <w:r w:rsidRPr="00934C80">
        <w:rPr>
          <w:rFonts w:ascii="Arial" w:hAnsi="Arial" w:cs="Arial"/>
          <w:sz w:val="24"/>
          <w:szCs w:val="24"/>
        </w:rPr>
        <w:t>tədris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ilində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almaq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istəyən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şəxslər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üçün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aşağıdakı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ixtisaslar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34C80">
        <w:rPr>
          <w:rFonts w:ascii="Arial" w:hAnsi="Arial" w:cs="Arial"/>
          <w:sz w:val="24"/>
          <w:szCs w:val="24"/>
        </w:rPr>
        <w:t>bakalavr</w:t>
      </w:r>
      <w:r>
        <w:rPr>
          <w:rFonts w:ascii="Arial" w:hAnsi="Arial" w:cs="Arial"/>
          <w:sz w:val="24"/>
          <w:szCs w:val="24"/>
        </w:rPr>
        <w:t>iat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səviyyəsi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34C80">
        <w:rPr>
          <w:rFonts w:ascii="Arial" w:hAnsi="Arial" w:cs="Arial"/>
          <w:sz w:val="24"/>
          <w:szCs w:val="24"/>
        </w:rPr>
        <w:t>üzrə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sənəd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qəbulu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elan </w:t>
      </w:r>
      <w:proofErr w:type="spellStart"/>
      <w:r w:rsidRPr="00934C80">
        <w:rPr>
          <w:rFonts w:ascii="Arial" w:hAnsi="Arial" w:cs="Arial"/>
          <w:sz w:val="24"/>
          <w:szCs w:val="24"/>
        </w:rPr>
        <w:t>edir</w:t>
      </w:r>
      <w:proofErr w:type="spellEnd"/>
      <w:r w:rsidRPr="00934C80">
        <w:rPr>
          <w:rFonts w:ascii="Arial" w:hAnsi="Arial" w:cs="Arial"/>
          <w:sz w:val="24"/>
          <w:szCs w:val="24"/>
        </w:rPr>
        <w:t>:</w:t>
      </w:r>
    </w:p>
    <w:p w14:paraId="19F575A7" w14:textId="77777777" w:rsidR="00934C80" w:rsidRP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20"/>
        <w:gridCol w:w="5389"/>
      </w:tblGrid>
      <w:tr w:rsidR="00934C80" w:rsidRPr="00C377CC" w14:paraId="4B8ECA8D" w14:textId="77777777" w:rsidTr="0051740C">
        <w:tc>
          <w:tcPr>
            <w:tcW w:w="450" w:type="pct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040F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Sıra</w:t>
            </w:r>
          </w:p>
          <w:p w14:paraId="002079A9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1650" w:type="pct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BE9F" w14:textId="6ACC7AA6" w:rsidR="00934C80" w:rsidRPr="00C377CC" w:rsidRDefault="00934C80" w:rsidP="00E01B3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İxtisasın (proqramın)</w:t>
            </w:r>
            <w:r w:rsidR="00E0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C37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şifri</w:t>
            </w:r>
          </w:p>
        </w:tc>
        <w:tc>
          <w:tcPr>
            <w:tcW w:w="2850" w:type="pct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C762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İxtisasın (proqramın) adı</w:t>
            </w:r>
          </w:p>
        </w:tc>
      </w:tr>
      <w:tr w:rsidR="00934C80" w:rsidRPr="00C377CC" w14:paraId="75AD1DF7" w14:textId="77777777" w:rsidTr="0051740C">
        <w:tc>
          <w:tcPr>
            <w:tcW w:w="450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55CB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1650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2D07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050206</w:t>
            </w:r>
          </w:p>
        </w:tc>
        <w:tc>
          <w:tcPr>
            <w:tcW w:w="2850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4F0B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Hüquqşünaslıq</w:t>
            </w:r>
          </w:p>
          <w:p w14:paraId="3B1A293F" w14:textId="77777777" w:rsidR="00934C80" w:rsidRPr="00C377CC" w:rsidRDefault="00934C80" w:rsidP="00934C8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(yalnız gömrük orqanlarının əməkdaşları üçün)</w:t>
            </w:r>
          </w:p>
        </w:tc>
      </w:tr>
      <w:tr w:rsidR="00934C80" w:rsidRPr="00C377CC" w14:paraId="708B22FC" w14:textId="77777777" w:rsidTr="00E01B3E">
        <w:trPr>
          <w:trHeight w:val="693"/>
        </w:trPr>
        <w:tc>
          <w:tcPr>
            <w:tcW w:w="450" w:type="pc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82E5" w14:textId="77777777" w:rsidR="00934C80" w:rsidRPr="00C377CC" w:rsidRDefault="00934C80" w:rsidP="00934C80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1650" w:type="pc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4FE7" w14:textId="77777777" w:rsidR="00934C80" w:rsidRPr="00C377CC" w:rsidRDefault="00934C80" w:rsidP="00934C80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050401</w:t>
            </w:r>
          </w:p>
        </w:tc>
        <w:tc>
          <w:tcPr>
            <w:tcW w:w="2850" w:type="pc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1A0C" w14:textId="77777777" w:rsidR="00934C80" w:rsidRPr="00C377CC" w:rsidRDefault="00934C80" w:rsidP="00934C80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377CC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Beynəlxalq ticarət və logistika</w:t>
            </w:r>
          </w:p>
        </w:tc>
      </w:tr>
    </w:tbl>
    <w:p w14:paraId="7893A41D" w14:textId="4AD0D986" w:rsid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8B74B7" w14:textId="77777777" w:rsid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0F4D39" w14:textId="17660B64" w:rsidR="00934C80" w:rsidRDefault="00934C80" w:rsidP="00934C80">
      <w:pPr>
        <w:pStyle w:val="a3"/>
        <w:numPr>
          <w:ilvl w:val="0"/>
          <w:numId w:val="2"/>
        </w:numPr>
        <w:spacing w:after="0" w:line="276" w:lineRule="auto"/>
        <w:ind w:left="1260" w:hanging="81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Akademiyada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ödənişli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əsaslarla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qiyabi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formada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həyata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keçirilir</w:t>
      </w:r>
      <w:proofErr w:type="spellEnd"/>
      <w:r w:rsidRPr="00934C80">
        <w:rPr>
          <w:rFonts w:ascii="Arial" w:hAnsi="Arial" w:cs="Arial"/>
          <w:sz w:val="24"/>
          <w:szCs w:val="24"/>
        </w:rPr>
        <w:t>;</w:t>
      </w:r>
    </w:p>
    <w:p w14:paraId="0F12463F" w14:textId="772F13A0" w:rsidR="00934C80" w:rsidRDefault="00934C80" w:rsidP="00934C80">
      <w:pPr>
        <w:pStyle w:val="a3"/>
        <w:numPr>
          <w:ilvl w:val="0"/>
          <w:numId w:val="2"/>
        </w:numPr>
        <w:spacing w:after="0" w:line="276" w:lineRule="auto"/>
        <w:ind w:left="1260" w:hanging="81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üçün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müraciət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etmiş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şəxslərin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müvafiq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ixtisaslara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qəbulu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Akademiya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tərəfindən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müəyyən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edilmiş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qaydada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müsabiqə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yolu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ilə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aparılır</w:t>
      </w:r>
      <w:proofErr w:type="spellEnd"/>
      <w:r w:rsidRPr="00934C80">
        <w:rPr>
          <w:rFonts w:ascii="Arial" w:hAnsi="Arial" w:cs="Arial"/>
          <w:sz w:val="24"/>
          <w:szCs w:val="24"/>
        </w:rPr>
        <w:t>;</w:t>
      </w:r>
    </w:p>
    <w:p w14:paraId="4B1D9DC0" w14:textId="4ED56FAB" w:rsidR="00934C80" w:rsidRDefault="00934C80" w:rsidP="00934C80">
      <w:pPr>
        <w:pStyle w:val="a3"/>
        <w:numPr>
          <w:ilvl w:val="0"/>
          <w:numId w:val="2"/>
        </w:numPr>
        <w:spacing w:after="0" w:line="276" w:lineRule="auto"/>
        <w:ind w:left="1260" w:hanging="81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Müsabiqədən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uğurla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keçənlər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müqavilə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yolu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ilə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müvafiq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üzrə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tələbələr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sırasına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qəbul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edilirlər</w:t>
      </w:r>
      <w:proofErr w:type="spellEnd"/>
      <w:r w:rsidRPr="00934C80">
        <w:rPr>
          <w:rFonts w:ascii="Arial" w:hAnsi="Arial" w:cs="Arial"/>
          <w:sz w:val="24"/>
          <w:szCs w:val="24"/>
        </w:rPr>
        <w:t>;</w:t>
      </w:r>
    </w:p>
    <w:p w14:paraId="4A39B7CD" w14:textId="569EB59E" w:rsidR="00934C80" w:rsidRDefault="00934C80" w:rsidP="00934C80">
      <w:pPr>
        <w:pStyle w:val="a3"/>
        <w:numPr>
          <w:ilvl w:val="0"/>
          <w:numId w:val="2"/>
        </w:numPr>
        <w:spacing w:after="0" w:line="276" w:lineRule="auto"/>
        <w:ind w:left="1260" w:hanging="81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Hər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bir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üzrə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haqqı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Akademiya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tərəfindən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müəyyən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edilir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və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müqavilədə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nəzərdə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tutulan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qaydada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ödənilir</w:t>
      </w:r>
      <w:proofErr w:type="spellEnd"/>
      <w:r w:rsidRPr="00934C80">
        <w:rPr>
          <w:rFonts w:ascii="Arial" w:hAnsi="Arial" w:cs="Arial"/>
          <w:sz w:val="24"/>
          <w:szCs w:val="24"/>
        </w:rPr>
        <w:t>;</w:t>
      </w:r>
    </w:p>
    <w:p w14:paraId="234D0047" w14:textId="1F3557E7" w:rsidR="00934C80" w:rsidRDefault="00934C80" w:rsidP="00934C80">
      <w:pPr>
        <w:pStyle w:val="a3"/>
        <w:numPr>
          <w:ilvl w:val="0"/>
          <w:numId w:val="2"/>
        </w:numPr>
        <w:spacing w:after="0" w:line="276" w:lineRule="auto"/>
        <w:ind w:left="1260" w:hanging="810"/>
        <w:jc w:val="both"/>
        <w:rPr>
          <w:rFonts w:ascii="Arial" w:hAnsi="Arial" w:cs="Arial"/>
          <w:sz w:val="24"/>
          <w:szCs w:val="24"/>
        </w:rPr>
      </w:pPr>
      <w:proofErr w:type="spellStart"/>
      <w:r w:rsidRPr="00934C80">
        <w:rPr>
          <w:rFonts w:ascii="Arial" w:hAnsi="Arial" w:cs="Arial"/>
          <w:sz w:val="24"/>
          <w:szCs w:val="24"/>
        </w:rPr>
        <w:t>Təkrar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müvafiq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üzrə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bakalavr</w:t>
      </w:r>
      <w:r>
        <w:rPr>
          <w:rFonts w:ascii="Arial" w:hAnsi="Arial" w:cs="Arial"/>
          <w:sz w:val="24"/>
          <w:szCs w:val="24"/>
        </w:rPr>
        <w:t>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səviyyəsi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üçün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mövcud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olan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proqramındakı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ümumi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və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ixtisas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fənləri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bölümlərini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əhatə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etməklə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C80">
        <w:rPr>
          <w:rFonts w:ascii="Arial" w:hAnsi="Arial" w:cs="Arial"/>
          <w:sz w:val="24"/>
          <w:szCs w:val="24"/>
        </w:rPr>
        <w:t>tələbənin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əvvəlcə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aldığı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proqramı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ilə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yeni </w:t>
      </w:r>
      <w:proofErr w:type="spellStart"/>
      <w:r w:rsidRPr="00934C80">
        <w:rPr>
          <w:rFonts w:ascii="Arial" w:hAnsi="Arial" w:cs="Arial"/>
          <w:sz w:val="24"/>
          <w:szCs w:val="24"/>
        </w:rPr>
        <w:t>ixtisasın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proqramı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arasındakı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fərq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nəzərə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alınmaqla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C80">
        <w:rPr>
          <w:rFonts w:ascii="Arial" w:hAnsi="Arial" w:cs="Arial"/>
          <w:sz w:val="24"/>
          <w:szCs w:val="24"/>
        </w:rPr>
        <w:t>Akademiya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tərəfindən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xüsusi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hazırlanmış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təhsil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proqramları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əsasında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aparılır</w:t>
      </w:r>
      <w:proofErr w:type="spellEnd"/>
      <w:r w:rsidRPr="00934C80">
        <w:rPr>
          <w:rFonts w:ascii="Arial" w:hAnsi="Arial" w:cs="Arial"/>
          <w:sz w:val="24"/>
          <w:szCs w:val="24"/>
        </w:rPr>
        <w:t>.</w:t>
      </w:r>
    </w:p>
    <w:p w14:paraId="20E82844" w14:textId="77777777" w:rsidR="00934C80" w:rsidRPr="00934C80" w:rsidRDefault="00934C80" w:rsidP="00934C80">
      <w:pPr>
        <w:pStyle w:val="a3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E0FD84" w14:textId="77777777" w:rsid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105E3C" w14:textId="1C9715EF" w:rsidR="00934C80" w:rsidRDefault="00934C80" w:rsidP="00934C80">
      <w:pPr>
        <w:spacing w:after="0" w:line="276" w:lineRule="auto"/>
        <w:ind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934C80">
        <w:rPr>
          <w:rFonts w:ascii="Arial" w:hAnsi="Arial" w:cs="Arial"/>
          <w:sz w:val="24"/>
          <w:szCs w:val="24"/>
        </w:rPr>
        <w:t>üraciət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etmək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istəyənlər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aşağıdakı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linkdən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keçid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sz w:val="24"/>
          <w:szCs w:val="24"/>
        </w:rPr>
        <w:t>edərək</w:t>
      </w:r>
      <w:proofErr w:type="spellEnd"/>
      <w:r w:rsidRPr="00934C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müvafiq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formanı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doldurub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təsdiq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etməlidirlər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Müraciət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üçün</w:t>
      </w:r>
      <w:proofErr w:type="spellEnd"/>
      <w:r>
        <w:rPr>
          <w:rFonts w:ascii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hAnsi="Arial" w:cs="Arial"/>
          <w:sz w:val="24"/>
          <w:szCs w:val="24"/>
        </w:rPr>
        <w:t>tarix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34C80">
        <w:rPr>
          <w:rFonts w:ascii="Arial" w:hAnsi="Arial" w:cs="Arial"/>
          <w:b/>
          <w:bCs/>
          <w:sz w:val="24"/>
          <w:szCs w:val="24"/>
        </w:rPr>
        <w:t xml:space="preserve">10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934C80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934C80">
        <w:rPr>
          <w:rFonts w:ascii="Arial" w:hAnsi="Arial" w:cs="Arial"/>
          <w:b/>
          <w:bCs/>
          <w:sz w:val="24"/>
          <w:szCs w:val="24"/>
        </w:rPr>
        <w:t>ildir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7B2981" w14:textId="77777777" w:rsidR="00934C80" w:rsidRPr="00934C80" w:rsidRDefault="00934C80" w:rsidP="00934C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8D540" w14:textId="6FD7D528" w:rsidR="00934C80" w:rsidRPr="00934C80" w:rsidRDefault="00934C80" w:rsidP="00934C80">
      <w:pPr>
        <w:shd w:val="clear" w:color="auto" w:fill="FFFFFF"/>
        <w:spacing w:before="120" w:after="120" w:line="240" w:lineRule="auto"/>
        <w:ind w:left="180"/>
        <w:jc w:val="both"/>
        <w:rPr>
          <w:rFonts w:ascii="Arial" w:eastAsia="Times New Roman" w:hAnsi="Arial" w:cs="Arial"/>
          <w:i/>
          <w:iCs/>
          <w:color w:val="666666"/>
          <w:sz w:val="24"/>
          <w:szCs w:val="24"/>
          <w:lang w:val="az-Latn-AZ"/>
        </w:rPr>
      </w:pPr>
      <w:r w:rsidRPr="00934C80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934C80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6" w:tgtFrame="_blank" w:tooltip="https://forms.office.com/r/M80BZGNJEJ" w:history="1">
        <w:r w:rsidRPr="00934C80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shd w:val="clear" w:color="auto" w:fill="FBFBFB"/>
            <w:lang w:val="az-Latn-AZ"/>
          </w:rPr>
          <w:t>Müraciət forması</w:t>
        </w:r>
      </w:hyperlink>
    </w:p>
    <w:p w14:paraId="0584C723" w14:textId="77777777" w:rsidR="00934C80" w:rsidRDefault="00934C80" w:rsidP="00934C80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34267AE2" w14:textId="02BF4EBA" w:rsidR="00934C80" w:rsidRDefault="00934C80" w:rsidP="00934C80">
      <w:pPr>
        <w:spacing w:after="0"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34C80">
        <w:rPr>
          <w:rFonts w:ascii="Arial" w:hAnsi="Arial" w:cs="Arial"/>
          <w:i/>
          <w:iCs/>
          <w:sz w:val="24"/>
          <w:szCs w:val="24"/>
        </w:rPr>
        <w:t>Əlaqə</w:t>
      </w:r>
      <w:proofErr w:type="spellEnd"/>
      <w:r w:rsidRPr="00934C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34C80">
        <w:rPr>
          <w:rFonts w:ascii="Arial" w:hAnsi="Arial" w:cs="Arial"/>
          <w:i/>
          <w:iCs/>
          <w:sz w:val="24"/>
          <w:szCs w:val="24"/>
        </w:rPr>
        <w:t>məlumatları</w:t>
      </w:r>
      <w:proofErr w:type="spellEnd"/>
      <w:r w:rsidRPr="00934C80">
        <w:rPr>
          <w:rFonts w:ascii="Arial" w:hAnsi="Arial" w:cs="Arial"/>
          <w:i/>
          <w:iCs/>
          <w:sz w:val="24"/>
          <w:szCs w:val="24"/>
        </w:rPr>
        <w:t>:</w:t>
      </w:r>
    </w:p>
    <w:p w14:paraId="003BDD83" w14:textId="77777777" w:rsidR="00934C80" w:rsidRPr="00934C80" w:rsidRDefault="00934C80" w:rsidP="00934C80">
      <w:pPr>
        <w:spacing w:after="0" w:line="276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14:paraId="5286AE91" w14:textId="48B833AD" w:rsidR="00CC75EE" w:rsidRDefault="00934C80" w:rsidP="00CC75EE">
      <w:pPr>
        <w:spacing w:after="0"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34C80">
        <w:rPr>
          <w:rFonts w:ascii="Arial" w:hAnsi="Arial" w:cs="Arial"/>
          <w:i/>
          <w:iCs/>
          <w:sz w:val="24"/>
          <w:szCs w:val="24"/>
        </w:rPr>
        <w:t>Telefon</w:t>
      </w:r>
      <w:proofErr w:type="spellEnd"/>
      <w:r w:rsidRPr="00934C80">
        <w:rPr>
          <w:rFonts w:ascii="Arial" w:hAnsi="Arial" w:cs="Arial"/>
          <w:i/>
          <w:iCs/>
          <w:sz w:val="24"/>
          <w:szCs w:val="24"/>
        </w:rPr>
        <w:t>: (994 12) 404 12 00</w:t>
      </w:r>
      <w:r w:rsidR="00CC75EE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CC75EE">
        <w:rPr>
          <w:rFonts w:ascii="Arial" w:hAnsi="Arial" w:cs="Arial"/>
          <w:i/>
          <w:iCs/>
          <w:sz w:val="24"/>
          <w:szCs w:val="24"/>
        </w:rPr>
        <w:t>daxili</w:t>
      </w:r>
      <w:proofErr w:type="spellEnd"/>
      <w:r w:rsidR="00CC75EE">
        <w:rPr>
          <w:rFonts w:ascii="Arial" w:hAnsi="Arial" w:cs="Arial"/>
          <w:i/>
          <w:iCs/>
          <w:sz w:val="24"/>
          <w:szCs w:val="24"/>
        </w:rPr>
        <w:t>: 3326)</w:t>
      </w:r>
    </w:p>
    <w:p w14:paraId="4344FAF4" w14:textId="63E6A048" w:rsidR="00934C80" w:rsidRPr="00934C80" w:rsidRDefault="00CC75EE" w:rsidP="00CC75EE">
      <w:pPr>
        <w:spacing w:after="0"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Mobil: +994 50 351 14 77</w:t>
      </w:r>
      <w:r w:rsidR="00934C80" w:rsidRPr="00934C80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079A122C" w14:textId="5DA361FE" w:rsidR="00012528" w:rsidRPr="00934C80" w:rsidRDefault="00934C80" w:rsidP="00CC75EE">
      <w:pPr>
        <w:spacing w:after="0"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934C80">
        <w:rPr>
          <w:rFonts w:ascii="Arial" w:hAnsi="Arial" w:cs="Arial"/>
          <w:i/>
          <w:iCs/>
          <w:sz w:val="24"/>
          <w:szCs w:val="24"/>
        </w:rPr>
        <w:t>E-</w:t>
      </w:r>
      <w:proofErr w:type="spellStart"/>
      <w:r w:rsidRPr="00934C80">
        <w:rPr>
          <w:rFonts w:ascii="Arial" w:hAnsi="Arial" w:cs="Arial"/>
          <w:i/>
          <w:iCs/>
          <w:sz w:val="24"/>
          <w:szCs w:val="24"/>
        </w:rPr>
        <w:t>poçt</w:t>
      </w:r>
      <w:proofErr w:type="spellEnd"/>
      <w:r w:rsidRPr="00934C80">
        <w:rPr>
          <w:rFonts w:ascii="Arial" w:hAnsi="Arial" w:cs="Arial"/>
          <w:i/>
          <w:iCs/>
          <w:sz w:val="24"/>
          <w:szCs w:val="24"/>
        </w:rPr>
        <w:t>: elave.tehsil@ascca.edu.az</w:t>
      </w:r>
    </w:p>
    <w:sectPr w:rsidR="00012528" w:rsidRPr="00934C80" w:rsidSect="00934C8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116"/>
    <w:multiLevelType w:val="hybridMultilevel"/>
    <w:tmpl w:val="63E82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E3D"/>
    <w:multiLevelType w:val="hybridMultilevel"/>
    <w:tmpl w:val="4202C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A8C72E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80"/>
    <w:rsid w:val="00012528"/>
    <w:rsid w:val="00934C80"/>
    <w:rsid w:val="00CC75EE"/>
    <w:rsid w:val="00E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D416"/>
  <w15:chartTrackingRefBased/>
  <w15:docId w15:val="{5CA6FFDD-CB13-4F46-A9FF-145D9A4F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Rv7ARb_8m0aH97xM1wW_Fc_C0apnPuxEjMHsZKkIyUVURUUyVlQ2TTYxNkhCM1owMVZJRzQ3NDJMMy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1D4B-ED57-4B45-8E67-3BA42EE4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Gömrük Akademiyası</dc:creator>
  <cp:keywords/>
  <dc:description/>
  <cp:lastModifiedBy>aslan huseynov</cp:lastModifiedBy>
  <cp:revision>2</cp:revision>
  <dcterms:created xsi:type="dcterms:W3CDTF">2022-08-01T15:25:00Z</dcterms:created>
  <dcterms:modified xsi:type="dcterms:W3CDTF">2022-08-03T07:03:00Z</dcterms:modified>
</cp:coreProperties>
</file>